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8BF" w:rsidRPr="00A84814" w:rsidRDefault="005F68BF" w:rsidP="00A84814">
      <w:pPr>
        <w:pStyle w:val="Title"/>
        <w:rPr>
          <w:color w:val="auto"/>
          <w:sz w:val="44"/>
          <w:szCs w:val="44"/>
        </w:rPr>
      </w:pPr>
      <w:r w:rsidRPr="00761A04">
        <w:rPr>
          <w:color w:val="auto"/>
          <w:sz w:val="44"/>
          <w:szCs w:val="44"/>
        </w:rPr>
        <w:t xml:space="preserve">Academic Program Assessment </w:t>
      </w:r>
      <w:r w:rsidR="001E4F37">
        <w:rPr>
          <w:color w:val="auto"/>
          <w:sz w:val="44"/>
          <w:szCs w:val="44"/>
        </w:rPr>
        <w:t>Plan</w:t>
      </w:r>
      <w:r w:rsidR="00A84814">
        <w:rPr>
          <w:color w:val="auto"/>
          <w:sz w:val="44"/>
          <w:szCs w:val="44"/>
        </w:rPr>
        <w:t xml:space="preserve">– </w:t>
      </w:r>
      <w:r w:rsidR="00D5578E" w:rsidRPr="00D5578E">
        <w:rPr>
          <w:color w:val="auto"/>
          <w:sz w:val="44"/>
          <w:szCs w:val="44"/>
          <w:highlight w:val="yellow"/>
        </w:rPr>
        <w:t>AA Art Studio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027"/>
        <w:gridCol w:w="277"/>
        <w:gridCol w:w="1310"/>
        <w:gridCol w:w="361"/>
        <w:gridCol w:w="1439"/>
        <w:gridCol w:w="362"/>
        <w:gridCol w:w="2158"/>
        <w:gridCol w:w="180"/>
        <w:gridCol w:w="1710"/>
        <w:gridCol w:w="491"/>
        <w:gridCol w:w="413"/>
        <w:gridCol w:w="3071"/>
      </w:tblGrid>
      <w:tr w:rsidR="008F3A8A" w:rsidRPr="004378A7" w:rsidTr="00B71E9E">
        <w:trPr>
          <w:trHeight w:hRule="exact" w:val="473"/>
        </w:trPr>
        <w:tc>
          <w:tcPr>
            <w:tcW w:w="16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8F3A8A" w:rsidRPr="004378A7" w:rsidRDefault="008F3A8A" w:rsidP="007F2E97">
            <w:pPr>
              <w:spacing w:after="0" w:line="240" w:lineRule="auto"/>
              <w:ind w:left="90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A" w:rsidRPr="004378A7" w:rsidRDefault="007A13A3" w:rsidP="007A13A3">
            <w:pPr>
              <w:spacing w:line="240" w:lineRule="auto"/>
              <w:rPr>
                <w:sz w:val="20"/>
                <w:szCs w:val="20"/>
              </w:rPr>
            </w:pPr>
            <w:bookmarkStart w:id="0" w:name="_GoBack"/>
            <w:r>
              <w:rPr>
                <w:b/>
                <w:sz w:val="20"/>
                <w:szCs w:val="20"/>
              </w:rPr>
              <w:t>ARTS AND APPLIED TECHNOLOLGIES</w:t>
            </w:r>
            <w:bookmarkEnd w:id="0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8F3A8A" w:rsidRPr="004378A7" w:rsidRDefault="008F3A8A" w:rsidP="007F2E97">
            <w:pPr>
              <w:spacing w:after="0" w:line="240" w:lineRule="auto"/>
              <w:ind w:left="35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Degree/Type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150D5E" w:rsidRDefault="00B71E9E" w:rsidP="008F3A8A">
            <w:pPr>
              <w:tabs>
                <w:tab w:val="left" w:pos="9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of Arts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CCC0D9" w:themeFill="accent4" w:themeFillTint="66"/>
          </w:tcPr>
          <w:p w:rsidR="008F3A8A" w:rsidRPr="008F3A8A" w:rsidRDefault="008F3A8A" w:rsidP="009B0F42">
            <w:pPr>
              <w:tabs>
                <w:tab w:val="left" w:pos="975"/>
              </w:tabs>
              <w:rPr>
                <w:b/>
                <w:sz w:val="20"/>
                <w:szCs w:val="20"/>
              </w:rPr>
            </w:pPr>
            <w:r w:rsidRPr="008F3A8A">
              <w:rPr>
                <w:b/>
                <w:sz w:val="20"/>
                <w:szCs w:val="20"/>
              </w:rPr>
              <w:t>Date Submitted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4378A7" w:rsidRDefault="00B71E9E" w:rsidP="009B0F42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29, 2017</w:t>
            </w:r>
          </w:p>
        </w:tc>
      </w:tr>
      <w:tr w:rsidR="00DF526E" w:rsidRPr="004378A7" w:rsidTr="007B1E00">
        <w:trPr>
          <w:trHeight w:val="460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23" w:right="588"/>
              <w:jc w:val="center"/>
              <w:rPr>
                <w:sz w:val="20"/>
                <w:szCs w:val="20"/>
              </w:rPr>
            </w:pPr>
            <w:r w:rsidRPr="00C328E3">
              <w:rPr>
                <w:rFonts w:eastAsia="Times New Roman" w:cs="Times New Roman"/>
                <w:b/>
                <w:bCs/>
                <w:sz w:val="20"/>
                <w:szCs w:val="20"/>
              </w:rPr>
              <w:t>UNM Essential Learning Goals</w:t>
            </w:r>
          </w:p>
        </w:tc>
      </w:tr>
      <w:tr w:rsidR="00DF526E" w:rsidRPr="004378A7" w:rsidTr="007B1E00">
        <w:trPr>
          <w:trHeight w:val="1609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C2C2C2"/>
          </w:tcPr>
          <w:p w:rsidR="00DF526E" w:rsidRPr="009B0CD4" w:rsidRDefault="00DF526E" w:rsidP="00375295">
            <w:pPr>
              <w:spacing w:after="0"/>
              <w:rPr>
                <w:sz w:val="18"/>
                <w:szCs w:val="18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UNM has established the following essential learning goals for all UNM students:  University of New Mexico students will develop the following aptitudes and habits of mind in the course of their general and major study at UNM</w:t>
            </w:r>
          </w:p>
          <w:p w:rsidR="00DF526E" w:rsidRPr="009B0CD4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KNOWLEDGE of human cultures and the natural world, gained through study in the sciences and mathematics, social sciences, humanities, histories, languages and the arts.</w:t>
            </w:r>
          </w:p>
          <w:p w:rsidR="00DF526E" w:rsidRPr="009B0CD4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SKILLS, both intellectual and applied, demonstrated in written and oral communication, inquiry and analysis, critical and creative thinking, quantitative literacy, information literacy, performance, teamwork and problem solving.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RESPONSIBILITY, both personal and social, that will be manifested in civic knowledge and engagement, multicultural knowledge and competence, ethical reasoning and action, and foundations and skills for lifelong learning.</w:t>
            </w:r>
          </w:p>
        </w:tc>
      </w:tr>
      <w:tr w:rsidR="00DF526E" w:rsidRPr="004378A7" w:rsidTr="00B71E9E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Pr="004378A7" w:rsidRDefault="00DF526E" w:rsidP="002503DB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Contact Person (name, title, email)</w:t>
            </w:r>
          </w:p>
        </w:tc>
        <w:tc>
          <w:tcPr>
            <w:tcW w:w="59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C" w:rsidRDefault="00FD08BC" w:rsidP="00FD08BC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Yarnell, Division Head of Arts and Applied Technologies</w:t>
            </w:r>
          </w:p>
          <w:p w:rsidR="00FD08BC" w:rsidRDefault="00FD08BC" w:rsidP="00FD08BC">
            <w:pPr>
              <w:spacing w:line="240" w:lineRule="auto"/>
              <w:contextualSpacing/>
              <w:rPr>
                <w:sz w:val="20"/>
                <w:szCs w:val="20"/>
              </w:rPr>
            </w:pPr>
            <w:hyperlink r:id="rId6" w:history="1">
              <w:r w:rsidRPr="00D22448">
                <w:rPr>
                  <w:rStyle w:val="Hyperlink"/>
                  <w:sz w:val="20"/>
                  <w:szCs w:val="20"/>
                </w:rPr>
                <w:t>yarnell@unm.edu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B71E9E" w:rsidRDefault="00B71E9E" w:rsidP="00B71E9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250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reviewed by CARC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B71E9E" w:rsidP="00250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29, 2017</w:t>
            </w:r>
          </w:p>
        </w:tc>
      </w:tr>
      <w:tr w:rsidR="00DF526E" w:rsidRPr="004378A7" w:rsidTr="007B1E00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9C4332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Cycle (1-year/2-year/3-year)</w:t>
            </w:r>
          </w:p>
        </w:tc>
        <w:tc>
          <w:tcPr>
            <w:tcW w:w="11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AD02FC" w:rsidP="009C4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degree/ assessed yearly</w:t>
            </w:r>
          </w:p>
        </w:tc>
      </w:tr>
      <w:tr w:rsidR="00DF526E" w:rsidRPr="004378A7" w:rsidTr="00296283"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296283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 w:rsidRPr="007B1E0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Program Goal #1</w:t>
            </w:r>
          </w:p>
        </w:tc>
        <w:tc>
          <w:tcPr>
            <w:tcW w:w="11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B71E9E" w:rsidP="00D5578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b/>
              </w:rPr>
            </w:pPr>
            <w:r w:rsidRPr="00B71E9E">
              <w:rPr>
                <w:b/>
              </w:rPr>
              <w:t xml:space="preserve">Graduate will be prepared for advanced study (i.e. pathway for transfer) in visual art or a career as an artist. </w:t>
            </w:r>
          </w:p>
          <w:p w:rsidR="00B71E9E" w:rsidRPr="00B71E9E" w:rsidRDefault="00B71E9E" w:rsidP="00D5578E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cs="SabonLTStd-Roman"/>
                <w:b/>
                <w:color w:val="191919"/>
              </w:rPr>
            </w:pPr>
          </w:p>
        </w:tc>
      </w:tr>
      <w:tr w:rsidR="00375295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Pr="004378A7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</w:p>
          <w:p w:rsidR="00DF526E" w:rsidRPr="004378A7" w:rsidRDefault="00DF526E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(In each row enter an SLO targeted at this Program Goal)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66DF">
              <w:rPr>
                <w:b/>
                <w:sz w:val="20"/>
                <w:szCs w:val="20"/>
              </w:rPr>
              <w:t xml:space="preserve">Year of cycle in which this </w:t>
            </w:r>
            <w:r>
              <w:rPr>
                <w:b/>
                <w:sz w:val="20"/>
                <w:szCs w:val="20"/>
              </w:rPr>
              <w:t>outcome</w:t>
            </w:r>
            <w:r w:rsidRPr="00C066DF">
              <w:rPr>
                <w:b/>
                <w:sz w:val="20"/>
                <w:szCs w:val="20"/>
              </w:rPr>
              <w:t xml:space="preserve"> will be assessed.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 xml:space="preserve">UNM Essential Learning Goal (Knowledge, Skills, </w:t>
            </w:r>
            <w:r w:rsidR="00DF526E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Responsibility</w:t>
            </w: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186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Assessment Measure including 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Dir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t/ I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00DF526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(Provide a description of the assessment instrument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used; include the course AND if it was direct or indirect)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70" w:hang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(State the ‘criteria for success’ or performance target for meeting the SLO, i.e., at least 70% of students will perform with score of 70 or better)</w:t>
            </w:r>
          </w:p>
        </w:tc>
      </w:tr>
      <w:tr w:rsidR="007B1E00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77" w:right="-20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 Outcome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Pr="00C066DF" w:rsidRDefault="007B1E00" w:rsidP="007B1E00">
            <w:pPr>
              <w:spacing w:after="0" w:line="240" w:lineRule="auto"/>
              <w:ind w:left="436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Cycle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436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UNM Essential Learning Goal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02" w:right="186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Measure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91" w:right="70" w:hang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</w:p>
        </w:tc>
      </w:tr>
      <w:tr w:rsidR="00150D5E" w:rsidRPr="004378A7" w:rsidTr="00D068B6">
        <w:tc>
          <w:tcPr>
            <w:tcW w:w="29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E" w:rsidRPr="00B71E9E" w:rsidRDefault="00B71E9E" w:rsidP="00D068B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E9E">
              <w:rPr>
                <w:sz w:val="20"/>
                <w:szCs w:val="20"/>
              </w:rPr>
              <w:t>Students will analyze and interpret works of art and the cultural significance of these works.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E" w:rsidRPr="00150D5E" w:rsidRDefault="00820AEB" w:rsidP="00D068B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</w:t>
            </w:r>
            <w:r w:rsidR="0051105A">
              <w:rPr>
                <w:rFonts w:cs="Arial"/>
                <w:sz w:val="20"/>
                <w:szCs w:val="20"/>
              </w:rPr>
              <w:t xml:space="preserve"> 1</w:t>
            </w:r>
          </w:p>
        </w:tc>
        <w:tc>
          <w:tcPr>
            <w:tcW w:w="18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E" w:rsidRDefault="0051105A" w:rsidP="0080143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B71E9E" w:rsidRPr="00150D5E" w:rsidRDefault="00B71E9E" w:rsidP="0080143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</w:tc>
        <w:tc>
          <w:tcPr>
            <w:tcW w:w="495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E" w:rsidRPr="007E1F94" w:rsidRDefault="00B71E9E" w:rsidP="00B71E9E">
            <w:pPr>
              <w:spacing w:after="4"/>
              <w:rPr>
                <w:b/>
                <w:sz w:val="20"/>
                <w:szCs w:val="20"/>
              </w:rPr>
            </w:pPr>
            <w:r w:rsidRPr="007E1F94">
              <w:rPr>
                <w:b/>
                <w:sz w:val="20"/>
                <w:szCs w:val="20"/>
              </w:rPr>
              <w:t>Course: ARTH 201</w:t>
            </w:r>
            <w:r w:rsidR="007E1F94" w:rsidRPr="007E1F94">
              <w:rPr>
                <w:b/>
                <w:sz w:val="20"/>
                <w:szCs w:val="20"/>
              </w:rPr>
              <w:t>: History of Art I</w:t>
            </w:r>
          </w:p>
          <w:p w:rsidR="00150D5E" w:rsidRDefault="007E1F94" w:rsidP="007E1F94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Students will complete two assignments-- </w:t>
            </w:r>
            <w:r w:rsidR="00B71E9E">
              <w:rPr>
                <w:sz w:val="20"/>
                <w:szCs w:val="20"/>
              </w:rPr>
              <w:t>(1) Great Buildings Essay (2) Final Exam</w:t>
            </w:r>
            <w:r>
              <w:rPr>
                <w:sz w:val="20"/>
                <w:szCs w:val="20"/>
              </w:rPr>
              <w:t xml:space="preserve">—and assessment will include evaluating the essay with a rubric and tallying key exam questions for UNM/HED Common SLOs for the course. The Instructor will report results to the Department chair. </w:t>
            </w:r>
          </w:p>
          <w:p w:rsidR="007E1F94" w:rsidRDefault="007E1F94" w:rsidP="007E1F94">
            <w:pPr>
              <w:spacing w:after="4"/>
              <w:rPr>
                <w:sz w:val="20"/>
                <w:szCs w:val="20"/>
              </w:rPr>
            </w:pPr>
          </w:p>
          <w:p w:rsidR="007E1F94" w:rsidRPr="007E1F94" w:rsidRDefault="007E1F94" w:rsidP="007E1F94">
            <w:pPr>
              <w:spacing w:after="4"/>
              <w:rPr>
                <w:b/>
                <w:sz w:val="20"/>
                <w:szCs w:val="20"/>
              </w:rPr>
            </w:pPr>
            <w:r w:rsidRPr="007E1F94">
              <w:rPr>
                <w:b/>
                <w:sz w:val="20"/>
                <w:szCs w:val="20"/>
              </w:rPr>
              <w:t>Course: ARTS 168: Introduction to Ceramics</w:t>
            </w:r>
          </w:p>
          <w:p w:rsidR="00D068B6" w:rsidRDefault="007E1F94" w:rsidP="00D068B6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Students work will be assessed on a portfolio of work completed using a rubric that utilizes a 4 </w:t>
            </w:r>
            <w:r>
              <w:rPr>
                <w:sz w:val="20"/>
                <w:szCs w:val="20"/>
              </w:rPr>
              <w:lastRenderedPageBreak/>
              <w:t>point scale</w:t>
            </w:r>
            <w:r w:rsidR="00D068B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1</w:t>
            </w:r>
            <w:r w:rsidR="00D068B6">
              <w:rPr>
                <w:sz w:val="20"/>
                <w:szCs w:val="20"/>
              </w:rPr>
              <w:t xml:space="preserve"> (Does not meet expectations) </w:t>
            </w:r>
            <w:proofErr w:type="gramStart"/>
            <w:r w:rsidR="00D068B6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 4</w:t>
            </w:r>
            <w:proofErr w:type="gramEnd"/>
            <w:r>
              <w:rPr>
                <w:sz w:val="20"/>
                <w:szCs w:val="20"/>
              </w:rPr>
              <w:t xml:space="preserve"> (Exceeds Expectations). </w:t>
            </w:r>
            <w:r w:rsidR="00D068B6">
              <w:rPr>
                <w:sz w:val="20"/>
                <w:szCs w:val="20"/>
              </w:rPr>
              <w:t xml:space="preserve">The instructor will assess students and report to the Department Chair. </w:t>
            </w:r>
          </w:p>
          <w:p w:rsidR="007E1F94" w:rsidRPr="007E1F94" w:rsidRDefault="007E1F94" w:rsidP="00D068B6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E" w:rsidRPr="00150D5E" w:rsidRDefault="00B71E9E" w:rsidP="007E1F9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Performance Target: At least 70% of the students will perform with a score of 70 or higher.</w:t>
            </w:r>
          </w:p>
        </w:tc>
      </w:tr>
      <w:tr w:rsidR="00801432" w:rsidRPr="004378A7" w:rsidTr="00D068B6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B71E9E" w:rsidRDefault="00B71E9E" w:rsidP="00D068B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E9E">
              <w:rPr>
                <w:sz w:val="20"/>
                <w:szCs w:val="20"/>
              </w:rPr>
              <w:t>Students will design and create artworks using diverse media.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801432" w:rsidRDefault="00D068B6" w:rsidP="0080143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Year 1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801432" w:rsidRDefault="00D068B6" w:rsidP="0080143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Skills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2" w:rsidRPr="00D068B6" w:rsidRDefault="00D068B6" w:rsidP="00B71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68B6">
              <w:rPr>
                <w:b/>
                <w:sz w:val="20"/>
                <w:szCs w:val="20"/>
              </w:rPr>
              <w:t>Course: ARTS 106: Drawing I</w:t>
            </w:r>
          </w:p>
          <w:p w:rsidR="00D068B6" w:rsidRDefault="00D068B6" w:rsidP="00B71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Students will be evaluated using a rubric. The instructor will report results to the Department Chair. </w:t>
            </w:r>
          </w:p>
          <w:p w:rsidR="00D068B6" w:rsidRDefault="00D068B6" w:rsidP="00B71E9E">
            <w:pPr>
              <w:spacing w:after="0" w:line="240" w:lineRule="auto"/>
              <w:rPr>
                <w:sz w:val="20"/>
                <w:szCs w:val="20"/>
              </w:rPr>
            </w:pPr>
          </w:p>
          <w:p w:rsidR="00D068B6" w:rsidRPr="00D068B6" w:rsidRDefault="00D068B6" w:rsidP="00B71E9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068B6">
              <w:rPr>
                <w:b/>
                <w:sz w:val="20"/>
                <w:szCs w:val="20"/>
              </w:rPr>
              <w:t>Course: ARTS 207: Painting I</w:t>
            </w:r>
          </w:p>
          <w:p w:rsidR="00D068B6" w:rsidRDefault="00D068B6" w:rsidP="00D068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Students will be evaluated using a rubric. The instructor will report results to the Department Chair. </w:t>
            </w:r>
          </w:p>
          <w:p w:rsidR="00D068B6" w:rsidRPr="00801432" w:rsidRDefault="00D068B6" w:rsidP="00B71E9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2" w:rsidRPr="00801432" w:rsidRDefault="00B71E9E" w:rsidP="007E1F9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sz w:val="20"/>
                <w:szCs w:val="20"/>
              </w:rPr>
              <w:t>Performance Target: At least 70% of the students will perform with a score of 70 or higher.</w:t>
            </w:r>
          </w:p>
        </w:tc>
      </w:tr>
      <w:tr w:rsidR="00801432" w:rsidRPr="004378A7" w:rsidTr="00D068B6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B71E9E" w:rsidRDefault="00B71E9E" w:rsidP="00D068B6">
            <w:pPr>
              <w:pStyle w:val="Defaul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E9E">
              <w:rPr>
                <w:sz w:val="20"/>
                <w:szCs w:val="20"/>
              </w:rPr>
              <w:t>Students will discuss the efficacy of artworks and explain their conceptual framework.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820AEB" w:rsidRDefault="00820AEB" w:rsidP="00D068B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20AEB">
              <w:rPr>
                <w:rFonts w:cs="Arial"/>
                <w:sz w:val="20"/>
                <w:szCs w:val="20"/>
              </w:rPr>
              <w:t>Year</w:t>
            </w:r>
            <w:r w:rsidR="0051105A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820AEB" w:rsidRDefault="007373FC" w:rsidP="0080143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Skill </w:t>
            </w:r>
            <w:r w:rsidR="0051105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B6" w:rsidRPr="00D068B6" w:rsidRDefault="00D068B6" w:rsidP="00B71E9E">
            <w:pPr>
              <w:spacing w:after="4"/>
              <w:rPr>
                <w:b/>
                <w:sz w:val="20"/>
                <w:szCs w:val="20"/>
              </w:rPr>
            </w:pPr>
            <w:r w:rsidRPr="00D068B6">
              <w:rPr>
                <w:b/>
                <w:sz w:val="20"/>
                <w:szCs w:val="20"/>
              </w:rPr>
              <w:t>Course: ARTH 250: Modern Art</w:t>
            </w:r>
          </w:p>
          <w:p w:rsidR="00D068B6" w:rsidRPr="00D068B6" w:rsidRDefault="00D068B6" w:rsidP="00D068B6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Assessment: Students will complete a final essay on 20</w:t>
            </w:r>
            <w:r w:rsidRPr="00D068B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century architecture—and assessment will include evaluating the essay with a rubric and tallying key exam questions for UNM/HED Common SLOs for the course. The Instructor will report results to the Department chair. </w:t>
            </w:r>
          </w:p>
          <w:p w:rsidR="009325DC" w:rsidRPr="00820AEB" w:rsidRDefault="009325DC" w:rsidP="00B71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2" w:rsidRPr="00820AEB" w:rsidRDefault="00B71E9E" w:rsidP="007E1F9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At least 70% of the students will perform with a score of 70 or higher.</w:t>
            </w:r>
          </w:p>
        </w:tc>
      </w:tr>
      <w:tr w:rsidR="00801432" w:rsidRPr="004378A7" w:rsidTr="00D068B6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B71E9E" w:rsidRDefault="00B71E9E" w:rsidP="00D068B6">
            <w:pPr>
              <w:pStyle w:val="Default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71E9E">
              <w:rPr>
                <w:sz w:val="20"/>
                <w:szCs w:val="20"/>
              </w:rPr>
              <w:t>Students will demonstrate basic critical thinking, communication, and knowledge of human culture in preparation for transfer.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Pr="00801432" w:rsidRDefault="00D068B6" w:rsidP="0080143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Year 1 and Year 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32" w:rsidRDefault="00B71E9E" w:rsidP="0080143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Knowledge</w:t>
            </w:r>
          </w:p>
          <w:p w:rsidR="00B71E9E" w:rsidRDefault="00B71E9E" w:rsidP="0080143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Skills </w:t>
            </w:r>
          </w:p>
          <w:p w:rsidR="00B71E9E" w:rsidRPr="00801432" w:rsidRDefault="00B71E9E" w:rsidP="0080143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Responsibility 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9E" w:rsidRPr="000C5025" w:rsidRDefault="00B71E9E" w:rsidP="00B71E9E">
            <w:pPr>
              <w:spacing w:after="4"/>
              <w:rPr>
                <w:b/>
                <w:sz w:val="20"/>
                <w:szCs w:val="20"/>
              </w:rPr>
            </w:pPr>
            <w:r w:rsidRPr="000C5025">
              <w:rPr>
                <w:b/>
                <w:sz w:val="20"/>
                <w:szCs w:val="20"/>
              </w:rPr>
              <w:t>Course: PSY 105: General Psychology</w:t>
            </w:r>
          </w:p>
          <w:p w:rsidR="00B71E9E" w:rsidRDefault="00B71E9E" w:rsidP="00B71E9E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Assessment: Students will have a final exam and short writing; the assessment will tally key exam questions and the essay will be assessed using a rubric that evaluated UNM/HED Common SLOs for this course. The instructor for this course will submit to the General Studies Department a report for this course. </w:t>
            </w:r>
          </w:p>
          <w:p w:rsidR="00801432" w:rsidRDefault="00801432" w:rsidP="00801432">
            <w:pPr>
              <w:spacing w:after="0" w:line="240" w:lineRule="auto"/>
              <w:rPr>
                <w:rFonts w:cs="Arial"/>
              </w:rPr>
            </w:pPr>
          </w:p>
          <w:p w:rsidR="00B71E9E" w:rsidRPr="000C5025" w:rsidRDefault="00B71E9E" w:rsidP="00B71E9E">
            <w:pPr>
              <w:spacing w:after="4"/>
              <w:rPr>
                <w:b/>
                <w:sz w:val="20"/>
                <w:szCs w:val="20"/>
              </w:rPr>
            </w:pPr>
            <w:r w:rsidRPr="000C5025">
              <w:rPr>
                <w:b/>
                <w:sz w:val="20"/>
                <w:szCs w:val="20"/>
              </w:rPr>
              <w:t xml:space="preserve">Course: English 110: Accelerated Composition </w:t>
            </w:r>
          </w:p>
          <w:p w:rsidR="00B71E9E" w:rsidRPr="00801432" w:rsidRDefault="00B71E9E" w:rsidP="00B71E9E">
            <w:pPr>
              <w:spacing w:after="0" w:line="240" w:lineRule="auto"/>
              <w:rPr>
                <w:rFonts w:cs="Arial"/>
              </w:rPr>
            </w:pPr>
            <w:r>
              <w:rPr>
                <w:sz w:val="20"/>
                <w:szCs w:val="20"/>
              </w:rPr>
              <w:t xml:space="preserve">Direct Assessment: </w:t>
            </w:r>
            <w:r w:rsidRPr="001A2AE3">
              <w:rPr>
                <w:sz w:val="20"/>
                <w:szCs w:val="20"/>
              </w:rPr>
              <w:t>Student final paper assign</w:t>
            </w:r>
            <w:r>
              <w:rPr>
                <w:sz w:val="20"/>
                <w:szCs w:val="20"/>
              </w:rPr>
              <w:t>ment will be panel assessed, using a rubric, for the UNM/HED Common SLOs. The Communications Department will submit a report for this course.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32" w:rsidRPr="00801432" w:rsidRDefault="00B71E9E" w:rsidP="007E1F9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sz w:val="20"/>
                <w:szCs w:val="20"/>
              </w:rPr>
              <w:t>Performance Target: At least 70% of the students will perform with a score of 70 or higher.</w:t>
            </w:r>
          </w:p>
        </w:tc>
      </w:tr>
    </w:tbl>
    <w:p w:rsidR="00A84814" w:rsidRPr="005F68BF" w:rsidRDefault="00A84814" w:rsidP="008F3A8A">
      <w:pPr>
        <w:rPr>
          <w:rFonts w:asciiTheme="majorHAnsi" w:eastAsiaTheme="majorEastAsia" w:hAnsiTheme="majorHAnsi" w:cstheme="majorBidi"/>
          <w:spacing w:val="5"/>
          <w:kern w:val="28"/>
          <w:sz w:val="44"/>
          <w:szCs w:val="44"/>
        </w:rPr>
      </w:pPr>
    </w:p>
    <w:sectPr w:rsidR="00A84814" w:rsidRPr="005F68BF" w:rsidSect="005F68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bon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D8B"/>
    <w:multiLevelType w:val="hybridMultilevel"/>
    <w:tmpl w:val="F4F64C66"/>
    <w:lvl w:ilvl="0" w:tplc="F66AC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85F0C"/>
    <w:multiLevelType w:val="hybridMultilevel"/>
    <w:tmpl w:val="0B2C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5CE1"/>
    <w:multiLevelType w:val="hybridMultilevel"/>
    <w:tmpl w:val="E2F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0CE8"/>
    <w:multiLevelType w:val="hybridMultilevel"/>
    <w:tmpl w:val="8C4E2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380C71"/>
    <w:multiLevelType w:val="hybridMultilevel"/>
    <w:tmpl w:val="0B2C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E37CE"/>
    <w:multiLevelType w:val="hybridMultilevel"/>
    <w:tmpl w:val="31AC0FEE"/>
    <w:lvl w:ilvl="0" w:tplc="4FD2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E6C67"/>
    <w:multiLevelType w:val="hybridMultilevel"/>
    <w:tmpl w:val="0B2C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68BF"/>
    <w:rsid w:val="000450D6"/>
    <w:rsid w:val="000B6AB1"/>
    <w:rsid w:val="000F65F7"/>
    <w:rsid w:val="001302BE"/>
    <w:rsid w:val="00150D5E"/>
    <w:rsid w:val="00190872"/>
    <w:rsid w:val="001C34D1"/>
    <w:rsid w:val="001C39C0"/>
    <w:rsid w:val="001E4F37"/>
    <w:rsid w:val="00225965"/>
    <w:rsid w:val="00240B84"/>
    <w:rsid w:val="00296283"/>
    <w:rsid w:val="003014FE"/>
    <w:rsid w:val="00306EC3"/>
    <w:rsid w:val="0033528D"/>
    <w:rsid w:val="00375295"/>
    <w:rsid w:val="003F4304"/>
    <w:rsid w:val="00486032"/>
    <w:rsid w:val="004C1A68"/>
    <w:rsid w:val="004E384C"/>
    <w:rsid w:val="0051105A"/>
    <w:rsid w:val="00562038"/>
    <w:rsid w:val="005B2BD2"/>
    <w:rsid w:val="005F68BF"/>
    <w:rsid w:val="00607C8F"/>
    <w:rsid w:val="00610863"/>
    <w:rsid w:val="00626B80"/>
    <w:rsid w:val="006305FE"/>
    <w:rsid w:val="006535FC"/>
    <w:rsid w:val="006B08F8"/>
    <w:rsid w:val="006B5A5C"/>
    <w:rsid w:val="006D1A08"/>
    <w:rsid w:val="007373FC"/>
    <w:rsid w:val="007418AD"/>
    <w:rsid w:val="0075519F"/>
    <w:rsid w:val="007605B0"/>
    <w:rsid w:val="007925F5"/>
    <w:rsid w:val="007A13A3"/>
    <w:rsid w:val="007A3A11"/>
    <w:rsid w:val="007B1E00"/>
    <w:rsid w:val="007D1430"/>
    <w:rsid w:val="007E081D"/>
    <w:rsid w:val="007E1F94"/>
    <w:rsid w:val="007F2E97"/>
    <w:rsid w:val="00801432"/>
    <w:rsid w:val="00820AEB"/>
    <w:rsid w:val="008E7DFC"/>
    <w:rsid w:val="008F3A8A"/>
    <w:rsid w:val="008F5551"/>
    <w:rsid w:val="00905A75"/>
    <w:rsid w:val="0091303A"/>
    <w:rsid w:val="009325DC"/>
    <w:rsid w:val="009728FC"/>
    <w:rsid w:val="009B0CD4"/>
    <w:rsid w:val="009B0F42"/>
    <w:rsid w:val="009D5749"/>
    <w:rsid w:val="009F3203"/>
    <w:rsid w:val="009F790D"/>
    <w:rsid w:val="009F7A37"/>
    <w:rsid w:val="00A315D6"/>
    <w:rsid w:val="00A46354"/>
    <w:rsid w:val="00A53B08"/>
    <w:rsid w:val="00A84814"/>
    <w:rsid w:val="00AC3BD2"/>
    <w:rsid w:val="00AD02FC"/>
    <w:rsid w:val="00B239EE"/>
    <w:rsid w:val="00B71E9E"/>
    <w:rsid w:val="00BD0D03"/>
    <w:rsid w:val="00C066DF"/>
    <w:rsid w:val="00C328E3"/>
    <w:rsid w:val="00CD43AC"/>
    <w:rsid w:val="00CD7930"/>
    <w:rsid w:val="00D068B6"/>
    <w:rsid w:val="00D5578E"/>
    <w:rsid w:val="00D87E63"/>
    <w:rsid w:val="00DA5383"/>
    <w:rsid w:val="00DB21E8"/>
    <w:rsid w:val="00DE321B"/>
    <w:rsid w:val="00DE57AC"/>
    <w:rsid w:val="00DF526E"/>
    <w:rsid w:val="00E0684E"/>
    <w:rsid w:val="00E404AE"/>
    <w:rsid w:val="00E83D52"/>
    <w:rsid w:val="00EC1D9F"/>
    <w:rsid w:val="00F220F8"/>
    <w:rsid w:val="00F769FF"/>
    <w:rsid w:val="00FB4D92"/>
    <w:rsid w:val="00FD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8BD1E-9DD0-473A-9732-D1AFD6E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6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0D5E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50D5E"/>
    <w:rPr>
      <w:color w:val="2B579A"/>
      <w:shd w:val="clear" w:color="auto" w:fill="E6E6E6"/>
    </w:rPr>
  </w:style>
  <w:style w:type="paragraph" w:customStyle="1" w:styleId="Default">
    <w:name w:val="Default"/>
    <w:uiPriority w:val="99"/>
    <w:rsid w:val="00150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150D5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nell@un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CAF7-5465-4002-BECD-84862F0F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Willerton</dc:creator>
  <cp:lastModifiedBy>Mickey Marsee</cp:lastModifiedBy>
  <cp:revision>6</cp:revision>
  <cp:lastPrinted>2017-05-09T15:39:00Z</cp:lastPrinted>
  <dcterms:created xsi:type="dcterms:W3CDTF">2017-06-29T17:27:00Z</dcterms:created>
  <dcterms:modified xsi:type="dcterms:W3CDTF">2017-07-19T22:17:00Z</dcterms:modified>
</cp:coreProperties>
</file>